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730" w:rsidRPr="00224D05" w:rsidRDefault="00B96730" w:rsidP="00B96730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>
        <w:rPr>
          <w:b/>
        </w:rPr>
        <w:t xml:space="preserve">   </w:t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96730" w:rsidRPr="00224D05" w:rsidRDefault="00B96730" w:rsidP="00B96730">
      <w:pPr>
        <w:rPr>
          <w:lang w:val="en-US"/>
        </w:rPr>
      </w:pPr>
    </w:p>
    <w:p w:rsidR="00B96730" w:rsidRPr="00224D05" w:rsidRDefault="00B96730" w:rsidP="00B96730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58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B96730" w:rsidRPr="00224D05" w:rsidRDefault="00B96730" w:rsidP="00B967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Pr="003C7302">
        <w:rPr>
          <w:rFonts w:ascii="Times New Roman" w:eastAsia="Times New Roman" w:hAnsi="Times New Roman" w:cs="Times New Roman"/>
          <w:b/>
          <w:sz w:val="24"/>
          <w:szCs w:val="24"/>
        </w:rPr>
        <w:t xml:space="preserve">ДОПЪЛВАЩО ЗАСТРОЯВАНЕ – НАВЕС в ПИ 175015 землище с.Добромирка, Община Севлиево със застроена площ до 35 кв.м, без </w:t>
      </w:r>
      <w:proofErr w:type="spellStart"/>
      <w:r w:rsidRPr="003C7302">
        <w:rPr>
          <w:rFonts w:ascii="Times New Roman" w:eastAsia="Times New Roman" w:hAnsi="Times New Roman" w:cs="Times New Roman"/>
          <w:b/>
          <w:sz w:val="24"/>
          <w:szCs w:val="24"/>
        </w:rPr>
        <w:t>стоманобетонова</w:t>
      </w:r>
      <w:proofErr w:type="spellEnd"/>
      <w:r w:rsidRPr="003C7302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конструкция.</w:t>
      </w:r>
    </w:p>
    <w:p w:rsidR="00B96730" w:rsidRPr="00224D05" w:rsidRDefault="00B96730" w:rsidP="00B9673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„БЪРЗАВА“ООД</w:t>
      </w:r>
    </w:p>
    <w:p w:rsidR="00B96730" w:rsidRPr="00224D05" w:rsidRDefault="00B96730" w:rsidP="00B96730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96730" w:rsidRPr="00224D05" w:rsidRDefault="00B96730" w:rsidP="00B96730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30"/>
    <w:rsid w:val="000666F0"/>
    <w:rsid w:val="00B96730"/>
    <w:rsid w:val="00D95565"/>
    <w:rsid w:val="00E8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7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2020-01-23T12:04:00Z</dcterms:created>
  <dcterms:modified xsi:type="dcterms:W3CDTF">2020-01-23T12:04:00Z</dcterms:modified>
</cp:coreProperties>
</file>